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0012" w14:textId="64EDCBBC" w:rsidR="00D72F7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34"/>
          <w:szCs w:val="34"/>
        </w:rPr>
      </w:pPr>
      <w:bookmarkStart w:id="0" w:name="_GoBack"/>
      <w:bookmarkEnd w:id="0"/>
      <w:r w:rsidRPr="0001001E">
        <w:rPr>
          <w:rFonts w:asciiTheme="majorHAnsi" w:hAnsiTheme="majorHAns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CC8892E" wp14:editId="0D6CA6E6">
            <wp:simplePos x="0" y="0"/>
            <wp:positionH relativeFrom="column">
              <wp:posOffset>8084820</wp:posOffset>
            </wp:positionH>
            <wp:positionV relativeFrom="paragraph">
              <wp:posOffset>-91440</wp:posOffset>
            </wp:positionV>
            <wp:extent cx="1120140" cy="467726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A Framework for </w:t>
      </w:r>
      <w:r w:rsidR="00516F1B" w:rsidRPr="0001001E">
        <w:rPr>
          <w:rFonts w:asciiTheme="majorHAnsi" w:hAnsiTheme="majorHAnsi"/>
          <w:b/>
          <w:sz w:val="34"/>
          <w:szCs w:val="34"/>
          <w:u w:val="single"/>
        </w:rPr>
        <w:t>Beginning our</w:t>
      </w:r>
      <w:r w:rsidR="00BD0985" w:rsidRPr="0001001E">
        <w:rPr>
          <w:rFonts w:asciiTheme="majorHAnsi" w:hAnsiTheme="majorHAnsi"/>
          <w:b/>
          <w:sz w:val="34"/>
          <w:szCs w:val="34"/>
          <w:u w:val="single"/>
        </w:rPr>
        <w:t xml:space="preserve"> Implemen</w:t>
      </w:r>
      <w:r w:rsidRPr="0001001E">
        <w:rPr>
          <w:rFonts w:asciiTheme="majorHAnsi" w:hAnsiTheme="majorHAnsi"/>
          <w:b/>
          <w:sz w:val="34"/>
          <w:szCs w:val="34"/>
          <w:u w:val="single"/>
        </w:rPr>
        <w:t xml:space="preserve">tation of the </w:t>
      </w:r>
      <w:r w:rsidR="004C2180">
        <w:rPr>
          <w:rFonts w:asciiTheme="majorHAnsi" w:hAnsiTheme="majorHAnsi"/>
          <w:b/>
          <w:sz w:val="34"/>
          <w:szCs w:val="34"/>
          <w:u w:val="single"/>
        </w:rPr>
        <w:t>Go Math Materials</w:t>
      </w:r>
    </w:p>
    <w:p w14:paraId="5FC3C0AD" w14:textId="77777777" w:rsidR="0001001E" w:rsidRPr="0001001E" w:rsidRDefault="0001001E" w:rsidP="0001001E">
      <w:pPr>
        <w:pStyle w:val="NoSpacing"/>
        <w:ind w:left="-360" w:right="-360"/>
        <w:rPr>
          <w:rFonts w:asciiTheme="majorHAnsi" w:hAnsiTheme="majorHAnsi"/>
          <w:b/>
          <w:sz w:val="18"/>
          <w:u w:val="single"/>
        </w:rPr>
      </w:pPr>
    </w:p>
    <w:p w14:paraId="767483E9" w14:textId="476FBB85" w:rsidR="009A67AA" w:rsidRDefault="009A67AA" w:rsidP="0001001E">
      <w:pPr>
        <w:pStyle w:val="NoSpacing"/>
        <w:ind w:left="-360" w:right="-360"/>
        <w:rPr>
          <w:rFonts w:asciiTheme="majorHAnsi" w:hAnsiTheme="majorHAnsi"/>
          <w:i/>
        </w:rPr>
      </w:pPr>
      <w:r w:rsidRPr="0001001E">
        <w:rPr>
          <w:rFonts w:asciiTheme="majorHAnsi" w:hAnsiTheme="majorHAnsi"/>
          <w:i/>
        </w:rPr>
        <w:t xml:space="preserve">This instructional sequence is meant to serve as a </w:t>
      </w:r>
      <w:r w:rsidR="0001001E" w:rsidRPr="0001001E">
        <w:rPr>
          <w:rFonts w:asciiTheme="majorHAnsi" w:hAnsiTheme="majorHAnsi"/>
          <w:i/>
        </w:rPr>
        <w:t>support</w:t>
      </w:r>
      <w:r w:rsidRPr="0001001E">
        <w:rPr>
          <w:rFonts w:asciiTheme="majorHAnsi" w:hAnsiTheme="majorHAnsi"/>
          <w:i/>
        </w:rPr>
        <w:t xml:space="preserve"> for weekly planning when it feels as though “we can’t get it all in!”  Adjustments in regards to pacing and timing may </w:t>
      </w:r>
      <w:r w:rsidR="006632ED" w:rsidRPr="0001001E">
        <w:rPr>
          <w:rFonts w:asciiTheme="majorHAnsi" w:hAnsiTheme="majorHAnsi"/>
          <w:i/>
        </w:rPr>
        <w:t xml:space="preserve">be </w:t>
      </w:r>
      <w:r w:rsidRPr="0001001E">
        <w:rPr>
          <w:rFonts w:asciiTheme="majorHAnsi" w:hAnsiTheme="majorHAnsi"/>
          <w:i/>
        </w:rPr>
        <w:t>need</w:t>
      </w:r>
      <w:r w:rsidR="006632ED" w:rsidRPr="0001001E">
        <w:rPr>
          <w:rFonts w:asciiTheme="majorHAnsi" w:hAnsiTheme="majorHAnsi"/>
          <w:i/>
        </w:rPr>
        <w:t>ed</w:t>
      </w:r>
      <w:r w:rsidR="0001001E" w:rsidRPr="0001001E">
        <w:rPr>
          <w:rFonts w:asciiTheme="majorHAnsi" w:hAnsiTheme="majorHAnsi"/>
          <w:i/>
        </w:rPr>
        <w:t xml:space="preserve"> to meet the needs of students.</w:t>
      </w:r>
      <w:r w:rsidR="0001001E">
        <w:rPr>
          <w:rFonts w:asciiTheme="majorHAnsi" w:hAnsiTheme="majorHAnsi"/>
          <w:i/>
        </w:rPr>
        <w:t xml:space="preserve"> This should be considered a starting point as we work to become more efficient with the </w:t>
      </w:r>
      <w:r w:rsidR="004C2180">
        <w:rPr>
          <w:rFonts w:asciiTheme="majorHAnsi" w:hAnsiTheme="majorHAnsi"/>
          <w:i/>
        </w:rPr>
        <w:t>G</w:t>
      </w:r>
      <w:r w:rsidR="00A121CA">
        <w:rPr>
          <w:rFonts w:asciiTheme="majorHAnsi" w:hAnsiTheme="majorHAnsi"/>
          <w:i/>
        </w:rPr>
        <w:t>o</w:t>
      </w:r>
      <w:r w:rsidR="004C2180">
        <w:rPr>
          <w:rFonts w:asciiTheme="majorHAnsi" w:hAnsiTheme="majorHAnsi"/>
          <w:i/>
        </w:rPr>
        <w:t xml:space="preserve"> Math </w:t>
      </w:r>
      <w:r w:rsidR="0001001E">
        <w:rPr>
          <w:rFonts w:asciiTheme="majorHAnsi" w:hAnsiTheme="majorHAnsi"/>
          <w:i/>
        </w:rPr>
        <w:t>materials.</w:t>
      </w:r>
    </w:p>
    <w:p w14:paraId="33AF3F54" w14:textId="77777777" w:rsidR="0001001E" w:rsidRPr="0001001E" w:rsidRDefault="0001001E" w:rsidP="0001001E">
      <w:pPr>
        <w:pStyle w:val="NoSpacing"/>
        <w:rPr>
          <w:rFonts w:asciiTheme="majorHAnsi" w:hAnsiTheme="majorHAnsi"/>
          <w:i/>
          <w:sz w:val="14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6030"/>
        <w:gridCol w:w="6030"/>
      </w:tblGrid>
      <w:tr w:rsidR="004C2180" w:rsidRPr="00BD0985" w14:paraId="6091CAF4" w14:textId="77777777" w:rsidTr="00A121CA">
        <w:trPr>
          <w:trHeight w:val="311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6EF57106" w14:textId="77777777" w:rsidR="004C2180" w:rsidRPr="00BD0985" w:rsidRDefault="004C2180" w:rsidP="00F236D8">
            <w:pPr>
              <w:jc w:val="center"/>
              <w:rPr>
                <w:rFonts w:asciiTheme="majorHAnsi" w:hAnsiTheme="majorHAnsi"/>
                <w:b/>
              </w:rPr>
            </w:pPr>
            <w:r w:rsidRPr="00BD0985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12060" w:type="dxa"/>
            <w:gridSpan w:val="2"/>
            <w:shd w:val="clear" w:color="auto" w:fill="FFB061"/>
            <w:vAlign w:val="center"/>
          </w:tcPr>
          <w:p w14:paraId="4C0E6DA9" w14:textId="5355DEAD" w:rsidR="004C2180" w:rsidRPr="00BD0985" w:rsidRDefault="00A121CA" w:rsidP="00F236D8">
            <w:pPr>
              <w:jc w:val="center"/>
              <w:rPr>
                <w:rFonts w:asciiTheme="majorHAnsi" w:hAnsiTheme="majorHAnsi"/>
                <w:b/>
              </w:rPr>
            </w:pPr>
            <w:r w:rsidRPr="00A121CA">
              <w:rPr>
                <w:rFonts w:asciiTheme="majorHAnsi" w:hAnsiTheme="majorHAnsi"/>
                <w:b/>
                <w:sz w:val="20"/>
              </w:rPr>
              <w:t>Math: 75-90 minutes/day</w:t>
            </w:r>
          </w:p>
        </w:tc>
      </w:tr>
      <w:tr w:rsidR="004C2180" w:rsidRPr="00BD0985" w14:paraId="0FF314DC" w14:textId="77777777" w:rsidTr="001174EF">
        <w:trPr>
          <w:trHeight w:val="710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166AC616" w14:textId="77777777" w:rsidR="004C2180" w:rsidRDefault="004C2180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Daily Math Review and Mental Math</w:t>
            </w:r>
            <w:r w:rsidRPr="00F236D8">
              <w:rPr>
                <w:rFonts w:asciiTheme="majorHAnsi" w:hAnsiTheme="majorHAnsi"/>
                <w:b/>
              </w:rPr>
              <w:t xml:space="preserve"> </w:t>
            </w:r>
          </w:p>
          <w:p w14:paraId="5423D552" w14:textId="193E07D8" w:rsidR="004C2180" w:rsidRPr="00A121CA" w:rsidRDefault="004C2180" w:rsidP="00516F1B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sz w:val="18"/>
              </w:rPr>
              <w:t>(15 min)</w:t>
            </w:r>
          </w:p>
        </w:tc>
        <w:tc>
          <w:tcPr>
            <w:tcW w:w="12060" w:type="dxa"/>
            <w:gridSpan w:val="2"/>
            <w:vAlign w:val="center"/>
          </w:tcPr>
          <w:p w14:paraId="0C1154E9" w14:textId="6E8599D0" w:rsidR="004C2180" w:rsidRPr="00A121CA" w:rsidRDefault="004C2180" w:rsidP="0001001E">
            <w:pPr>
              <w:jc w:val="center"/>
              <w:rPr>
                <w:rFonts w:asciiTheme="majorHAnsi" w:hAnsiTheme="majorHAnsi"/>
                <w:sz w:val="24"/>
              </w:rPr>
            </w:pPr>
            <w:r w:rsidRPr="001174EF">
              <w:rPr>
                <w:rFonts w:asciiTheme="majorHAnsi" w:hAnsiTheme="majorHAnsi"/>
                <w:sz w:val="20"/>
              </w:rPr>
              <w:t>Review of Prerequisite Skills</w:t>
            </w:r>
            <w:r w:rsidRPr="001174EF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1174EF">
              <w:rPr>
                <w:rFonts w:asciiTheme="majorHAnsi" w:hAnsiTheme="majorHAnsi"/>
                <w:sz w:val="20"/>
              </w:rPr>
              <w:t>or previously instructed content that was not mastered.  Focus for Daily Math Review should be determined during the Data Team process in conjunction with the “</w:t>
            </w:r>
            <w:r w:rsidRPr="001174EF">
              <w:rPr>
                <w:rFonts w:asciiTheme="majorHAnsi" w:hAnsiTheme="majorHAnsi"/>
                <w:i/>
                <w:sz w:val="20"/>
              </w:rPr>
              <w:t>Show what you Know</w:t>
            </w:r>
            <w:r w:rsidRPr="001174EF">
              <w:rPr>
                <w:rFonts w:asciiTheme="majorHAnsi" w:hAnsiTheme="majorHAnsi"/>
                <w:sz w:val="20"/>
              </w:rPr>
              <w:t>” assessment.</w:t>
            </w:r>
          </w:p>
        </w:tc>
      </w:tr>
      <w:tr w:rsidR="00516F1B" w:rsidRPr="00BD0985" w14:paraId="645EAA50" w14:textId="77777777" w:rsidTr="001174EF">
        <w:trPr>
          <w:trHeight w:val="800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051F319C" w14:textId="1087560F" w:rsidR="00516F1B" w:rsidRDefault="004C2180" w:rsidP="00BD098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Whole Group Concept Development</w:t>
            </w:r>
          </w:p>
          <w:p w14:paraId="7B7407D2" w14:textId="2C35EBDC" w:rsidR="004C2180" w:rsidRPr="00A121CA" w:rsidRDefault="00810325" w:rsidP="00D90F72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sz w:val="18"/>
              </w:rPr>
              <w:t xml:space="preserve"> </w:t>
            </w:r>
            <w:r w:rsidR="004C2180" w:rsidRPr="00A121CA">
              <w:rPr>
                <w:rFonts w:asciiTheme="majorHAnsi" w:hAnsiTheme="majorHAnsi"/>
                <w:sz w:val="18"/>
              </w:rPr>
              <w:t>(</w:t>
            </w:r>
            <w:r w:rsidR="00D90F72">
              <w:rPr>
                <w:rFonts w:asciiTheme="majorHAnsi" w:hAnsiTheme="majorHAnsi"/>
                <w:sz w:val="18"/>
              </w:rPr>
              <w:t>20</w:t>
            </w:r>
            <w:r w:rsidR="004C2180" w:rsidRPr="00A121CA">
              <w:rPr>
                <w:rFonts w:asciiTheme="majorHAnsi" w:hAnsiTheme="majorHAnsi"/>
                <w:sz w:val="18"/>
              </w:rPr>
              <w:t xml:space="preserve"> min)</w:t>
            </w:r>
          </w:p>
        </w:tc>
        <w:tc>
          <w:tcPr>
            <w:tcW w:w="12060" w:type="dxa"/>
            <w:gridSpan w:val="2"/>
            <w:vAlign w:val="center"/>
          </w:tcPr>
          <w:p w14:paraId="52ADEF8F" w14:textId="77777777" w:rsidR="00810325" w:rsidRPr="001174EF" w:rsidRDefault="004C2180" w:rsidP="00BD0985">
            <w:pPr>
              <w:jc w:val="center"/>
              <w:rPr>
                <w:rFonts w:asciiTheme="majorHAnsi" w:hAnsiTheme="majorHAnsi"/>
                <w:sz w:val="20"/>
              </w:rPr>
            </w:pPr>
            <w:r w:rsidRPr="001174EF">
              <w:rPr>
                <w:rFonts w:asciiTheme="majorHAnsi" w:hAnsiTheme="majorHAnsi"/>
                <w:sz w:val="20"/>
              </w:rPr>
              <w:t xml:space="preserve">Engage </w:t>
            </w:r>
            <w:r w:rsidRPr="001174EF">
              <w:rPr>
                <w:rFonts w:asciiTheme="majorHAnsi" w:hAnsiTheme="majorHAnsi"/>
                <w:i/>
                <w:sz w:val="20"/>
              </w:rPr>
              <w:t>(Digital Lesson)</w:t>
            </w:r>
          </w:p>
          <w:p w14:paraId="03F65F00" w14:textId="77777777" w:rsidR="00516F1B" w:rsidRPr="001174EF" w:rsidRDefault="00810325" w:rsidP="00BD0985">
            <w:pPr>
              <w:jc w:val="center"/>
              <w:rPr>
                <w:rFonts w:asciiTheme="majorHAnsi" w:hAnsiTheme="majorHAnsi"/>
                <w:sz w:val="20"/>
              </w:rPr>
            </w:pPr>
            <w:r w:rsidRPr="001174EF">
              <w:rPr>
                <w:rFonts w:asciiTheme="majorHAnsi" w:hAnsiTheme="majorHAnsi"/>
                <w:sz w:val="20"/>
              </w:rPr>
              <w:t xml:space="preserve">Explore: </w:t>
            </w:r>
            <w:r w:rsidR="004C2180" w:rsidRPr="001174EF">
              <w:rPr>
                <w:rFonts w:asciiTheme="majorHAnsi" w:hAnsiTheme="majorHAnsi"/>
                <w:sz w:val="20"/>
              </w:rPr>
              <w:t>Listen and Draw (</w:t>
            </w:r>
            <w:r w:rsidR="004C2180" w:rsidRPr="001174EF">
              <w:rPr>
                <w:rFonts w:asciiTheme="majorHAnsi" w:hAnsiTheme="majorHAnsi"/>
                <w:i/>
                <w:sz w:val="20"/>
              </w:rPr>
              <w:t>K-2</w:t>
            </w:r>
            <w:r w:rsidR="004C2180" w:rsidRPr="001174EF">
              <w:rPr>
                <w:rFonts w:asciiTheme="majorHAnsi" w:hAnsiTheme="majorHAnsi"/>
                <w:sz w:val="20"/>
              </w:rPr>
              <w:t>), Unlock the Problem (</w:t>
            </w:r>
            <w:r w:rsidR="004C2180" w:rsidRPr="001174EF">
              <w:rPr>
                <w:rFonts w:asciiTheme="majorHAnsi" w:hAnsiTheme="majorHAnsi"/>
                <w:i/>
                <w:sz w:val="20"/>
              </w:rPr>
              <w:t>3-5</w:t>
            </w:r>
            <w:r w:rsidR="004C2180" w:rsidRPr="001174EF">
              <w:rPr>
                <w:rFonts w:asciiTheme="majorHAnsi" w:hAnsiTheme="majorHAnsi"/>
                <w:sz w:val="20"/>
              </w:rPr>
              <w:t>)</w:t>
            </w:r>
          </w:p>
          <w:p w14:paraId="2D5D0391" w14:textId="1DA72997" w:rsidR="00395844" w:rsidRPr="00A121CA" w:rsidRDefault="00395844" w:rsidP="00BD0985">
            <w:pPr>
              <w:jc w:val="center"/>
              <w:rPr>
                <w:rFonts w:asciiTheme="majorHAnsi" w:hAnsiTheme="majorHAnsi"/>
                <w:sz w:val="24"/>
              </w:rPr>
            </w:pPr>
            <w:r w:rsidRPr="001174EF">
              <w:rPr>
                <w:rFonts w:asciiTheme="majorHAnsi" w:hAnsiTheme="majorHAnsi"/>
                <w:sz w:val="20"/>
              </w:rPr>
              <w:t>Explain: Share and Show</w:t>
            </w:r>
          </w:p>
        </w:tc>
      </w:tr>
      <w:tr w:rsidR="00516F1B" w:rsidRPr="00BD0985" w14:paraId="5112FB8F" w14:textId="77777777" w:rsidTr="00395844">
        <w:trPr>
          <w:trHeight w:val="395"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1EB8BAB2" w14:textId="7448B91B" w:rsidR="00516F1B" w:rsidRPr="00395844" w:rsidRDefault="004C2180" w:rsidP="0039584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395844">
              <w:rPr>
                <w:rFonts w:asciiTheme="majorHAnsi" w:hAnsiTheme="majorHAnsi"/>
                <w:b/>
                <w:i/>
              </w:rPr>
              <w:t>Formative Assessment</w:t>
            </w:r>
            <w:r w:rsidR="00516F1B" w:rsidRPr="00395844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  <w:tc>
          <w:tcPr>
            <w:tcW w:w="12060" w:type="dxa"/>
            <w:gridSpan w:val="2"/>
            <w:shd w:val="clear" w:color="auto" w:fill="D9D9D9" w:themeFill="background1" w:themeFillShade="D9"/>
            <w:vAlign w:val="center"/>
          </w:tcPr>
          <w:p w14:paraId="1B0CB1F0" w14:textId="220869A8" w:rsidR="00516F1B" w:rsidRPr="00395844" w:rsidRDefault="00D90F72" w:rsidP="00395844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395844">
              <w:rPr>
                <w:rFonts w:asciiTheme="majorHAnsi" w:hAnsiTheme="majorHAnsi"/>
                <w:i/>
                <w:sz w:val="20"/>
              </w:rPr>
              <w:t>Teachers have students complete the “Quick Check” items.  Once the teacher has assessed students’ understanding of the skills, students are directed into one of the following support structure</w:t>
            </w:r>
            <w:r w:rsidR="00A31EA0">
              <w:rPr>
                <w:rFonts w:asciiTheme="majorHAnsi" w:hAnsiTheme="majorHAnsi"/>
                <w:i/>
                <w:sz w:val="20"/>
              </w:rPr>
              <w:t>s</w:t>
            </w:r>
            <w:r w:rsidRPr="00395844">
              <w:rPr>
                <w:rFonts w:asciiTheme="majorHAnsi" w:hAnsiTheme="majorHAnsi"/>
                <w:i/>
                <w:sz w:val="20"/>
              </w:rPr>
              <w:t>:</w:t>
            </w:r>
          </w:p>
        </w:tc>
      </w:tr>
      <w:tr w:rsidR="00D90F72" w:rsidRPr="00BD0985" w14:paraId="2AD42284" w14:textId="77777777" w:rsidTr="00500106">
        <w:trPr>
          <w:trHeight w:val="692"/>
        </w:trPr>
        <w:tc>
          <w:tcPr>
            <w:tcW w:w="1440" w:type="dxa"/>
            <w:vMerge w:val="restart"/>
            <w:shd w:val="clear" w:color="auto" w:fill="FFB061"/>
            <w:vAlign w:val="center"/>
          </w:tcPr>
          <w:p w14:paraId="22C1AE25" w14:textId="7B429762" w:rsidR="00D90F72" w:rsidRPr="00500106" w:rsidRDefault="00500106" w:rsidP="00A121CA">
            <w:pPr>
              <w:jc w:val="center"/>
              <w:rPr>
                <w:rFonts w:asciiTheme="majorHAnsi" w:hAnsiTheme="majorHAnsi"/>
                <w:sz w:val="20"/>
              </w:rPr>
            </w:pPr>
            <w:r w:rsidRPr="00500106">
              <w:rPr>
                <w:rFonts w:asciiTheme="majorHAnsi" w:hAnsiTheme="majorHAnsi"/>
                <w:sz w:val="20"/>
              </w:rPr>
              <w:t>Differentiated Instruction</w:t>
            </w:r>
          </w:p>
          <w:p w14:paraId="37CA0CDA" w14:textId="77777777" w:rsidR="00500106" w:rsidRDefault="001174EF" w:rsidP="00A121CA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(20 min</w:t>
            </w:r>
            <w:r w:rsidR="00500106" w:rsidRPr="001174EF">
              <w:rPr>
                <w:rFonts w:asciiTheme="majorHAnsi" w:hAnsiTheme="majorHAnsi"/>
                <w:sz w:val="18"/>
              </w:rPr>
              <w:t>)</w:t>
            </w:r>
          </w:p>
          <w:p w14:paraId="2676633B" w14:textId="77777777" w:rsidR="00A31EA0" w:rsidRDefault="00A31EA0" w:rsidP="00A121CA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38681EBA" w14:textId="5D5BD139" w:rsidR="00A31EA0" w:rsidRPr="00A31EA0" w:rsidRDefault="00A31EA0" w:rsidP="00A121CA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A31EA0">
              <w:rPr>
                <w:rFonts w:asciiTheme="majorHAnsi" w:hAnsiTheme="majorHAnsi"/>
                <w:i/>
                <w:sz w:val="16"/>
              </w:rPr>
              <w:t>** Support Staff Push in During this Time</w:t>
            </w:r>
          </w:p>
        </w:tc>
        <w:tc>
          <w:tcPr>
            <w:tcW w:w="1620" w:type="dxa"/>
            <w:shd w:val="clear" w:color="auto" w:fill="FFB061"/>
            <w:vAlign w:val="center"/>
          </w:tcPr>
          <w:p w14:paraId="60497FB4" w14:textId="680C6F45" w:rsidR="00CE1853" w:rsidRPr="00500106" w:rsidRDefault="00D90F72" w:rsidP="005001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Small Group Instruction</w:t>
            </w:r>
          </w:p>
        </w:tc>
        <w:tc>
          <w:tcPr>
            <w:tcW w:w="6030" w:type="dxa"/>
            <w:vAlign w:val="center"/>
          </w:tcPr>
          <w:p w14:paraId="6929B791" w14:textId="323E5DF6" w:rsidR="0045056A" w:rsidRDefault="00D90F72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Tier 2 Lesson from Think Central</w:t>
            </w:r>
          </w:p>
          <w:p w14:paraId="039A5D8E" w14:textId="77777777" w:rsidR="0045056A" w:rsidRDefault="0045056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00CF4F38" w14:textId="00742ACB" w:rsidR="00395844" w:rsidRPr="00500106" w:rsidRDefault="00FE6CB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5844">
              <w:rPr>
                <w:rFonts w:asciiTheme="majorHAnsi" w:hAnsiTheme="majorHAnsi"/>
                <w:sz w:val="20"/>
                <w:szCs w:val="20"/>
              </w:rPr>
              <w:t>Personalized Math Trainer</w:t>
            </w:r>
          </w:p>
        </w:tc>
        <w:tc>
          <w:tcPr>
            <w:tcW w:w="6030" w:type="dxa"/>
            <w:vAlign w:val="center"/>
          </w:tcPr>
          <w:p w14:paraId="1F86A742" w14:textId="6EBCB5CF" w:rsidR="00D90F72" w:rsidRDefault="00500106" w:rsidP="003D61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Advance Learners</w:t>
            </w:r>
            <w:r w:rsidR="00D90F72" w:rsidRPr="00500106">
              <w:rPr>
                <w:rFonts w:asciiTheme="majorHAnsi" w:hAnsiTheme="majorHAnsi"/>
                <w:sz w:val="20"/>
                <w:szCs w:val="20"/>
              </w:rPr>
              <w:t xml:space="preserve"> Lesson from </w:t>
            </w:r>
            <w:r w:rsidR="00810325">
              <w:rPr>
                <w:rFonts w:asciiTheme="majorHAnsi" w:hAnsiTheme="majorHAnsi"/>
                <w:sz w:val="20"/>
                <w:szCs w:val="20"/>
              </w:rPr>
              <w:t>Teacher’s Edition</w:t>
            </w:r>
            <w:r w:rsidR="00D90F72" w:rsidRPr="0050010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706B61" w14:textId="7F9139B0" w:rsidR="003D6195" w:rsidRPr="00500106" w:rsidRDefault="003D6195" w:rsidP="003958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(can include portions of Own Your Own)</w:t>
            </w:r>
          </w:p>
        </w:tc>
      </w:tr>
      <w:tr w:rsidR="004C2180" w:rsidRPr="00BD0985" w14:paraId="4B08F351" w14:textId="77777777" w:rsidTr="00500106">
        <w:trPr>
          <w:trHeight w:val="656"/>
        </w:trPr>
        <w:tc>
          <w:tcPr>
            <w:tcW w:w="1440" w:type="dxa"/>
            <w:vMerge/>
            <w:shd w:val="clear" w:color="auto" w:fill="FFB061"/>
            <w:vAlign w:val="center"/>
          </w:tcPr>
          <w:p w14:paraId="625171F0" w14:textId="5403BFB7" w:rsidR="004C2180" w:rsidRPr="00F236D8" w:rsidRDefault="004C2180" w:rsidP="00516F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shd w:val="clear" w:color="auto" w:fill="FFB061"/>
            <w:vAlign w:val="center"/>
          </w:tcPr>
          <w:p w14:paraId="204C6BF1" w14:textId="77777777" w:rsidR="00A121CA" w:rsidRPr="00500106" w:rsidRDefault="004C2180" w:rsidP="00516F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Independent/</w:t>
            </w:r>
          </w:p>
          <w:p w14:paraId="698CF22E" w14:textId="2ED5AEE7" w:rsidR="004C2180" w:rsidRPr="00500106" w:rsidRDefault="004C2180" w:rsidP="00516F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0106">
              <w:rPr>
                <w:rFonts w:asciiTheme="majorHAnsi" w:hAnsiTheme="majorHAnsi"/>
                <w:b/>
                <w:sz w:val="20"/>
                <w:szCs w:val="20"/>
              </w:rPr>
              <w:t>Collaborative</w:t>
            </w:r>
          </w:p>
        </w:tc>
        <w:tc>
          <w:tcPr>
            <w:tcW w:w="12060" w:type="dxa"/>
            <w:gridSpan w:val="2"/>
            <w:vAlign w:val="center"/>
          </w:tcPr>
          <w:p w14:paraId="484C2613" w14:textId="112B5D85" w:rsidR="00500106" w:rsidRPr="00500106" w:rsidRDefault="00500106" w:rsidP="005001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Own Your Own</w:t>
            </w:r>
            <w:r w:rsidR="003D6195">
              <w:rPr>
                <w:rFonts w:asciiTheme="majorHAnsi" w:hAnsiTheme="majorHAnsi"/>
                <w:sz w:val="20"/>
                <w:szCs w:val="20"/>
              </w:rPr>
              <w:t xml:space="preserve"> (teacher can select specific questions for completion)</w:t>
            </w:r>
          </w:p>
          <w:p w14:paraId="1B1DBF51" w14:textId="5F414E6E" w:rsidR="00500106" w:rsidRPr="00500106" w:rsidRDefault="00500106" w:rsidP="005001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+</w:t>
            </w:r>
          </w:p>
          <w:p w14:paraId="2697FDFD" w14:textId="77777777" w:rsidR="004C2180" w:rsidRDefault="004C2180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Grab &amp; Go</w:t>
            </w:r>
            <w:r w:rsidR="00500106" w:rsidRPr="00500106">
              <w:rPr>
                <w:rFonts w:asciiTheme="majorHAnsi" w:hAnsiTheme="majorHAnsi"/>
                <w:sz w:val="20"/>
                <w:szCs w:val="20"/>
              </w:rPr>
              <w:t xml:space="preserve"> Centers; Math Journal Probe (Essential Question)</w:t>
            </w:r>
            <w:r w:rsidR="00395844">
              <w:rPr>
                <w:rFonts w:asciiTheme="majorHAnsi" w:hAnsiTheme="majorHAnsi"/>
                <w:sz w:val="20"/>
                <w:szCs w:val="20"/>
              </w:rPr>
              <w:t>; Animated Math Models</w:t>
            </w:r>
          </w:p>
          <w:p w14:paraId="5D0CB1AC" w14:textId="2FF7A21C" w:rsidR="0045056A" w:rsidRPr="00500106" w:rsidRDefault="0045056A" w:rsidP="004505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(*FASTT Math can also be included during this time)</w:t>
            </w:r>
          </w:p>
        </w:tc>
      </w:tr>
      <w:tr w:rsidR="00D90F72" w:rsidRPr="00BD0985" w14:paraId="791C85FE" w14:textId="77777777" w:rsidTr="00CD5803">
        <w:trPr>
          <w:trHeight w:val="345"/>
        </w:trPr>
        <w:tc>
          <w:tcPr>
            <w:tcW w:w="3060" w:type="dxa"/>
            <w:gridSpan w:val="2"/>
            <w:shd w:val="clear" w:color="auto" w:fill="FFB061"/>
            <w:vAlign w:val="center"/>
          </w:tcPr>
          <w:p w14:paraId="7FB13BAC" w14:textId="72AC28E1" w:rsidR="00D90F72" w:rsidRDefault="00500106" w:rsidP="00516F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 Solving</w:t>
            </w:r>
          </w:p>
          <w:p w14:paraId="1DEFA3FA" w14:textId="313147E6" w:rsidR="00500106" w:rsidRPr="00500106" w:rsidRDefault="00500106" w:rsidP="001174EF">
            <w:pPr>
              <w:jc w:val="center"/>
              <w:rPr>
                <w:rFonts w:asciiTheme="majorHAnsi" w:hAnsiTheme="majorHAnsi"/>
              </w:rPr>
            </w:pPr>
            <w:r w:rsidRPr="00500106">
              <w:rPr>
                <w:rFonts w:asciiTheme="majorHAnsi" w:hAnsiTheme="majorHAnsi"/>
                <w:sz w:val="18"/>
              </w:rPr>
              <w:t>(15 min)</w:t>
            </w:r>
          </w:p>
        </w:tc>
        <w:tc>
          <w:tcPr>
            <w:tcW w:w="12060" w:type="dxa"/>
            <w:gridSpan w:val="2"/>
            <w:vAlign w:val="center"/>
          </w:tcPr>
          <w:p w14:paraId="0D72686B" w14:textId="1435F189" w:rsidR="00D90F72" w:rsidRPr="00500106" w:rsidRDefault="00D90F72" w:rsidP="009A67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0106">
              <w:rPr>
                <w:rFonts w:asciiTheme="majorHAnsi" w:hAnsiTheme="majorHAnsi"/>
                <w:sz w:val="20"/>
                <w:szCs w:val="20"/>
              </w:rPr>
              <w:t>Problem Solving + Application</w:t>
            </w:r>
            <w:r w:rsidR="00EF5582">
              <w:rPr>
                <w:rFonts w:asciiTheme="majorHAnsi" w:hAnsiTheme="majorHAnsi"/>
                <w:sz w:val="20"/>
                <w:szCs w:val="20"/>
              </w:rPr>
              <w:t xml:space="preserve"> utilizing the Interactive White Board</w:t>
            </w:r>
          </w:p>
        </w:tc>
      </w:tr>
      <w:tr w:rsidR="004C2180" w:rsidRPr="00BD0985" w14:paraId="606A614D" w14:textId="77777777" w:rsidTr="00150F08">
        <w:trPr>
          <w:trHeight w:val="521"/>
        </w:trPr>
        <w:tc>
          <w:tcPr>
            <w:tcW w:w="15120" w:type="dxa"/>
            <w:gridSpan w:val="4"/>
            <w:shd w:val="clear" w:color="auto" w:fill="D9D9D9" w:themeFill="background1" w:themeFillShade="D9"/>
            <w:vAlign w:val="center"/>
          </w:tcPr>
          <w:p w14:paraId="642451FE" w14:textId="059CE19E" w:rsidR="004C2180" w:rsidRPr="00BD0985" w:rsidRDefault="004C2180" w:rsidP="00150F08">
            <w:pPr>
              <w:jc w:val="center"/>
              <w:rPr>
                <w:rFonts w:asciiTheme="majorHAnsi" w:hAnsiTheme="majorHAnsi"/>
              </w:rPr>
            </w:pPr>
            <w:r w:rsidRPr="00A121CA">
              <w:rPr>
                <w:rFonts w:asciiTheme="majorHAnsi" w:hAnsiTheme="majorHAnsi"/>
                <w:b/>
                <w:sz w:val="20"/>
              </w:rPr>
              <w:t>Math Int</w:t>
            </w:r>
            <w:r w:rsidR="00150F08">
              <w:rPr>
                <w:rFonts w:asciiTheme="majorHAnsi" w:hAnsiTheme="majorHAnsi"/>
                <w:b/>
                <w:sz w:val="20"/>
              </w:rPr>
              <w:t xml:space="preserve">ervention: 15-20 minutes/day </w:t>
            </w:r>
            <w:r w:rsidR="00150F08" w:rsidRPr="00A121CA">
              <w:rPr>
                <w:rFonts w:asciiTheme="majorHAnsi" w:hAnsiTheme="majorHAnsi"/>
                <w:sz w:val="18"/>
              </w:rPr>
              <w:t>(</w:t>
            </w:r>
            <w:r w:rsidR="00150F08">
              <w:rPr>
                <w:rFonts w:asciiTheme="majorHAnsi" w:hAnsiTheme="majorHAnsi"/>
                <w:sz w:val="18"/>
              </w:rPr>
              <w:t>Occurs outside of the 75 minute)</w:t>
            </w:r>
          </w:p>
        </w:tc>
      </w:tr>
      <w:tr w:rsidR="004C2180" w:rsidRPr="00BD0985" w14:paraId="6B80827D" w14:textId="77777777" w:rsidTr="00150F08">
        <w:trPr>
          <w:trHeight w:val="431"/>
        </w:trPr>
        <w:tc>
          <w:tcPr>
            <w:tcW w:w="3060" w:type="dxa"/>
            <w:gridSpan w:val="2"/>
            <w:shd w:val="clear" w:color="auto" w:fill="FFE0C1"/>
            <w:vAlign w:val="center"/>
          </w:tcPr>
          <w:p w14:paraId="6C23B39E" w14:textId="077E0C2D" w:rsidR="004C2180" w:rsidRPr="00F236D8" w:rsidRDefault="004C2180" w:rsidP="00150F08">
            <w:pPr>
              <w:jc w:val="center"/>
              <w:rPr>
                <w:rFonts w:asciiTheme="majorHAnsi" w:hAnsiTheme="majorHAnsi"/>
                <w:b/>
              </w:rPr>
            </w:pPr>
            <w:r w:rsidRPr="00A121CA">
              <w:rPr>
                <w:rFonts w:asciiTheme="majorHAnsi" w:hAnsiTheme="majorHAnsi"/>
                <w:b/>
              </w:rPr>
              <w:t xml:space="preserve">Tier </w:t>
            </w:r>
            <w:r w:rsidR="00395844">
              <w:rPr>
                <w:rFonts w:asciiTheme="majorHAnsi" w:hAnsiTheme="majorHAnsi"/>
                <w:b/>
              </w:rPr>
              <w:t>3</w:t>
            </w:r>
            <w:r w:rsidR="00150F08">
              <w:rPr>
                <w:rFonts w:asciiTheme="majorHAnsi" w:hAnsiTheme="majorHAnsi"/>
                <w:b/>
              </w:rPr>
              <w:t xml:space="preserve"> Small Group</w:t>
            </w:r>
          </w:p>
        </w:tc>
        <w:tc>
          <w:tcPr>
            <w:tcW w:w="12060" w:type="dxa"/>
            <w:gridSpan w:val="2"/>
            <w:shd w:val="clear" w:color="auto" w:fill="FFE0C1"/>
            <w:vAlign w:val="center"/>
          </w:tcPr>
          <w:p w14:paraId="769C76A5" w14:textId="10483102" w:rsidR="004C2180" w:rsidRPr="00BD0985" w:rsidRDefault="00A121CA" w:rsidP="006632ED">
            <w:pPr>
              <w:jc w:val="center"/>
              <w:rPr>
                <w:rFonts w:asciiTheme="majorHAnsi" w:hAnsiTheme="majorHAnsi"/>
              </w:rPr>
            </w:pPr>
            <w:r w:rsidRPr="001174EF">
              <w:rPr>
                <w:rFonts w:asciiTheme="majorHAnsi" w:hAnsiTheme="majorHAnsi"/>
                <w:sz w:val="20"/>
              </w:rPr>
              <w:t>Intensive</w:t>
            </w:r>
            <w:r w:rsidR="004C2180" w:rsidRPr="001174EF">
              <w:rPr>
                <w:rFonts w:asciiTheme="majorHAnsi" w:hAnsiTheme="majorHAnsi"/>
                <w:sz w:val="20"/>
              </w:rPr>
              <w:t xml:space="preserve"> Intervention Activity Guide</w:t>
            </w:r>
            <w:r w:rsidR="00395844" w:rsidRPr="001174EF">
              <w:rPr>
                <w:rFonts w:asciiTheme="majorHAnsi" w:hAnsiTheme="majorHAnsi"/>
                <w:sz w:val="20"/>
              </w:rPr>
              <w:t>; Personal Math Trainer</w:t>
            </w:r>
          </w:p>
        </w:tc>
      </w:tr>
      <w:tr w:rsidR="00150F08" w:rsidRPr="00BD0985" w14:paraId="414F5C6B" w14:textId="77777777" w:rsidTr="00150F08">
        <w:trPr>
          <w:trHeight w:val="431"/>
        </w:trPr>
        <w:tc>
          <w:tcPr>
            <w:tcW w:w="3060" w:type="dxa"/>
            <w:gridSpan w:val="2"/>
            <w:shd w:val="clear" w:color="auto" w:fill="FFE0C1"/>
            <w:vAlign w:val="center"/>
          </w:tcPr>
          <w:p w14:paraId="3E0C64DC" w14:textId="1C9944D2" w:rsidR="00150F08" w:rsidRPr="00A121CA" w:rsidRDefault="00150F08" w:rsidP="003958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FASTT Math</w:t>
            </w:r>
          </w:p>
        </w:tc>
        <w:tc>
          <w:tcPr>
            <w:tcW w:w="12060" w:type="dxa"/>
            <w:gridSpan w:val="2"/>
            <w:shd w:val="clear" w:color="auto" w:fill="FFE0C1"/>
            <w:vAlign w:val="center"/>
          </w:tcPr>
          <w:p w14:paraId="7C86253C" w14:textId="0AB676C2" w:rsidR="00150F08" w:rsidRPr="001174EF" w:rsidRDefault="003C243B" w:rsidP="006632E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Basic Fact Intervention</w:t>
            </w:r>
          </w:p>
        </w:tc>
      </w:tr>
    </w:tbl>
    <w:p w14:paraId="07BFE8BC" w14:textId="77777777" w:rsidR="00516F1B" w:rsidRPr="0001001E" w:rsidRDefault="00516F1B" w:rsidP="0001001E">
      <w:pPr>
        <w:pStyle w:val="NoSpacing"/>
        <w:rPr>
          <w:rFonts w:asciiTheme="majorHAnsi" w:hAnsiTheme="majorHAnsi"/>
          <w:b/>
          <w:sz w:val="8"/>
          <w:u w:val="single"/>
        </w:rPr>
      </w:pPr>
    </w:p>
    <w:sectPr w:rsidR="00516F1B" w:rsidRPr="0001001E" w:rsidSect="00CD5803">
      <w:footerReference w:type="default" r:id="rId12"/>
      <w:pgSz w:w="15840" w:h="12240" w:orient="landscape"/>
      <w:pgMar w:top="360" w:right="720" w:bottom="45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9B61" w14:textId="77777777" w:rsidR="00701E96" w:rsidRDefault="00701E96" w:rsidP="00CD5803">
      <w:pPr>
        <w:spacing w:after="0" w:line="240" w:lineRule="auto"/>
      </w:pPr>
      <w:r>
        <w:separator/>
      </w:r>
    </w:p>
  </w:endnote>
  <w:endnote w:type="continuationSeparator" w:id="0">
    <w:p w14:paraId="07943268" w14:textId="77777777" w:rsidR="00701E96" w:rsidRDefault="00701E96" w:rsidP="00CD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7943" w14:textId="072F39B6" w:rsidR="00CD5803" w:rsidRPr="00CD5803" w:rsidRDefault="00CD5803">
    <w:pPr>
      <w:pStyle w:val="Footer"/>
      <w:rPr>
        <w:rFonts w:asciiTheme="majorHAnsi" w:hAnsiTheme="majorHAnsi"/>
        <w:sz w:val="24"/>
      </w:rPr>
    </w:pPr>
    <w:r>
      <w:ptab w:relativeTo="margin" w:alignment="right" w:leader="none"/>
    </w:r>
    <w:r w:rsidRPr="00CD5803">
      <w:rPr>
        <w:rFonts w:asciiTheme="majorHAnsi" w:hAnsiTheme="majorHAnsi"/>
        <w:sz w:val="24"/>
      </w:rPr>
      <w:t>Updated 2.21.14</w:t>
    </w:r>
  </w:p>
  <w:p w14:paraId="2307A05A" w14:textId="77777777" w:rsidR="00CD5803" w:rsidRDefault="00CD5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3911" w14:textId="77777777" w:rsidR="00701E96" w:rsidRDefault="00701E96" w:rsidP="00CD5803">
      <w:pPr>
        <w:spacing w:after="0" w:line="240" w:lineRule="auto"/>
      </w:pPr>
      <w:r>
        <w:separator/>
      </w:r>
    </w:p>
  </w:footnote>
  <w:footnote w:type="continuationSeparator" w:id="0">
    <w:p w14:paraId="7C9867A5" w14:textId="77777777" w:rsidR="00701E96" w:rsidRDefault="00701E96" w:rsidP="00CD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41F"/>
    <w:multiLevelType w:val="hybridMultilevel"/>
    <w:tmpl w:val="2CE82050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B66E5"/>
    <w:multiLevelType w:val="hybridMultilevel"/>
    <w:tmpl w:val="7A9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205"/>
    <w:multiLevelType w:val="hybridMultilevel"/>
    <w:tmpl w:val="F2D4534E"/>
    <w:lvl w:ilvl="0" w:tplc="6B1EE5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85"/>
    <w:rsid w:val="0001001E"/>
    <w:rsid w:val="000729FB"/>
    <w:rsid w:val="00080CE9"/>
    <w:rsid w:val="001174EF"/>
    <w:rsid w:val="00150F08"/>
    <w:rsid w:val="00266BCF"/>
    <w:rsid w:val="00395844"/>
    <w:rsid w:val="003C243B"/>
    <w:rsid w:val="003D6195"/>
    <w:rsid w:val="0045056A"/>
    <w:rsid w:val="0046207F"/>
    <w:rsid w:val="004C2180"/>
    <w:rsid w:val="00500106"/>
    <w:rsid w:val="00516F1B"/>
    <w:rsid w:val="005E442E"/>
    <w:rsid w:val="006632ED"/>
    <w:rsid w:val="00701E96"/>
    <w:rsid w:val="00810325"/>
    <w:rsid w:val="00847265"/>
    <w:rsid w:val="00892A71"/>
    <w:rsid w:val="008B582E"/>
    <w:rsid w:val="009A67AA"/>
    <w:rsid w:val="009B706A"/>
    <w:rsid w:val="00A121CA"/>
    <w:rsid w:val="00A31EA0"/>
    <w:rsid w:val="00BD0985"/>
    <w:rsid w:val="00CD5803"/>
    <w:rsid w:val="00CE1853"/>
    <w:rsid w:val="00D72F7E"/>
    <w:rsid w:val="00D90F72"/>
    <w:rsid w:val="00E43AD1"/>
    <w:rsid w:val="00EF5582"/>
    <w:rsid w:val="00F236D8"/>
    <w:rsid w:val="00F26E29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A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03"/>
  </w:style>
  <w:style w:type="paragraph" w:styleId="Footer">
    <w:name w:val="footer"/>
    <w:basedOn w:val="Normal"/>
    <w:link w:val="Foot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D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F1B"/>
    <w:pPr>
      <w:ind w:left="720"/>
      <w:contextualSpacing/>
    </w:pPr>
  </w:style>
  <w:style w:type="paragraph" w:styleId="NoSpacing">
    <w:name w:val="No Spacing"/>
    <w:uiPriority w:val="1"/>
    <w:qFormat/>
    <w:rsid w:val="00516F1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03"/>
  </w:style>
  <w:style w:type="paragraph" w:styleId="Footer">
    <w:name w:val="footer"/>
    <w:basedOn w:val="Normal"/>
    <w:link w:val="FooterChar"/>
    <w:uiPriority w:val="99"/>
    <w:unhideWhenUsed/>
    <w:rsid w:val="00CD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CA776-B6D4-4264-B45B-D4073A20C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620AC-84CE-414B-9143-8885943D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533BF-1235-4E10-96C9-7379574A4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2</cp:revision>
  <cp:lastPrinted>2014-02-21T21:59:00Z</cp:lastPrinted>
  <dcterms:created xsi:type="dcterms:W3CDTF">2014-03-26T21:20:00Z</dcterms:created>
  <dcterms:modified xsi:type="dcterms:W3CDTF">2014-03-26T21:20:00Z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-1782717524</vt:i4>
  </property>
  <property fmtid="{D5CDD505-2E9C-101B-9397-08002B2CF9AE}" pid="4" name="_NewReviewCycle">
    <vt:lpwstr/>
  </property>
  <property fmtid="{D5CDD505-2E9C-101B-9397-08002B2CF9AE}" pid="5" name="_EmailSubject">
    <vt:lpwstr>Go Math planning 2/4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ReviewingToolsShownOnce">
    <vt:lpwstr/>
  </property>
</Properties>
</file>